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58" w:rsidRPr="009571A1" w:rsidRDefault="00AE5658" w:rsidP="00AE5658">
      <w:pPr>
        <w:tabs>
          <w:tab w:val="left" w:pos="700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571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КРАСНОЯРСКИЙ КРАЙ</w:t>
      </w:r>
    </w:p>
    <w:p w:rsidR="00AE5658" w:rsidRPr="009571A1" w:rsidRDefault="00AE5658" w:rsidP="00AE5658">
      <w:pPr>
        <w:tabs>
          <w:tab w:val="left" w:pos="700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571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ИДРИНСКИЙ РАЙОН</w:t>
      </w:r>
    </w:p>
    <w:p w:rsidR="00AE5658" w:rsidRPr="009571A1" w:rsidRDefault="00AE5658" w:rsidP="00AE5658">
      <w:pPr>
        <w:tabs>
          <w:tab w:val="left" w:pos="700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571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АДМИНИСТРАЦИЯ </w:t>
      </w:r>
      <w:r w:rsidR="009571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БОЛЬШЕТЕЛЕ</w:t>
      </w:r>
      <w:r w:rsidRPr="009571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КСКОГО СЕЛЬСОВЕТА</w:t>
      </w:r>
    </w:p>
    <w:p w:rsidR="00AE5658" w:rsidRPr="00AE5658" w:rsidRDefault="00AE5658" w:rsidP="00AE5658">
      <w:pPr>
        <w:tabs>
          <w:tab w:val="left" w:pos="700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5658" w:rsidRPr="00AE5658" w:rsidRDefault="00AE5658" w:rsidP="00AE5658">
      <w:pPr>
        <w:tabs>
          <w:tab w:val="left" w:pos="700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E565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</w:t>
      </w:r>
    </w:p>
    <w:p w:rsidR="00AE5658" w:rsidRPr="009571A1" w:rsidRDefault="00AE5658" w:rsidP="00AE5658">
      <w:pPr>
        <w:tabs>
          <w:tab w:val="left" w:pos="700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571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РАСПОРЯЖЕНИЕ</w:t>
      </w:r>
    </w:p>
    <w:p w:rsidR="00AE5658" w:rsidRPr="00AE5658" w:rsidRDefault="00AE5658" w:rsidP="00AE5658">
      <w:pPr>
        <w:tabs>
          <w:tab w:val="left" w:pos="700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5658" w:rsidRPr="00AE5658" w:rsidRDefault="009571A1" w:rsidP="00AE5658">
      <w:pPr>
        <w:tabs>
          <w:tab w:val="left" w:pos="700"/>
          <w:tab w:val="left" w:pos="4335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72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56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2D26" w:rsidRPr="00E221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6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2D26" w:rsidRPr="00E221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E5658" w:rsidRPr="00AE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</w:t>
      </w:r>
      <w:proofErr w:type="spellEnd"/>
      <w:r w:rsidR="00AE5658" w:rsidRPr="00AE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E5658" w:rsidRPr="00AE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2D26" w:rsidRPr="00E221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E5658" w:rsidRPr="00AE565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C79E1" w:rsidRPr="00585181" w:rsidRDefault="003C79E1" w:rsidP="00AE56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79E1" w:rsidRPr="00585181" w:rsidRDefault="003C79E1" w:rsidP="00585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79E1" w:rsidRPr="00585181" w:rsidRDefault="003C79E1" w:rsidP="005851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5181">
        <w:rPr>
          <w:rFonts w:ascii="Times New Roman" w:hAnsi="Times New Roman" w:cs="Times New Roman"/>
          <w:b w:val="0"/>
          <w:sz w:val="28"/>
          <w:szCs w:val="28"/>
        </w:rPr>
        <w:t>Об утверждении порядка санкционирования оплаты денежных обязательств</w:t>
      </w:r>
    </w:p>
    <w:p w:rsidR="003C79E1" w:rsidRPr="00585181" w:rsidRDefault="003C79E1" w:rsidP="005851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5181">
        <w:rPr>
          <w:rFonts w:ascii="Times New Roman" w:hAnsi="Times New Roman" w:cs="Times New Roman"/>
          <w:b w:val="0"/>
          <w:sz w:val="28"/>
          <w:szCs w:val="28"/>
        </w:rPr>
        <w:t xml:space="preserve">получателей средств бюджета </w:t>
      </w:r>
      <w:proofErr w:type="spellStart"/>
      <w:r w:rsidR="009571A1">
        <w:rPr>
          <w:rFonts w:ascii="Times New Roman" w:hAnsi="Times New Roman" w:cs="Times New Roman"/>
          <w:b w:val="0"/>
          <w:sz w:val="28"/>
          <w:szCs w:val="28"/>
        </w:rPr>
        <w:t>Большетеле</w:t>
      </w:r>
      <w:r w:rsidR="006C27CC">
        <w:rPr>
          <w:rFonts w:ascii="Times New Roman" w:hAnsi="Times New Roman" w:cs="Times New Roman"/>
          <w:b w:val="0"/>
          <w:sz w:val="28"/>
          <w:szCs w:val="28"/>
        </w:rPr>
        <w:t>кского</w:t>
      </w:r>
      <w:proofErr w:type="spellEnd"/>
      <w:r w:rsidRPr="00585181">
        <w:rPr>
          <w:rFonts w:ascii="Times New Roman" w:hAnsi="Times New Roman" w:cs="Times New Roman"/>
          <w:b w:val="0"/>
          <w:sz w:val="28"/>
          <w:szCs w:val="28"/>
        </w:rPr>
        <w:t xml:space="preserve"> сельсовета и оплаты денежных</w:t>
      </w:r>
      <w:r w:rsidR="005851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5181">
        <w:rPr>
          <w:rFonts w:ascii="Times New Roman" w:hAnsi="Times New Roman" w:cs="Times New Roman"/>
          <w:b w:val="0"/>
          <w:sz w:val="28"/>
          <w:szCs w:val="28"/>
        </w:rPr>
        <w:t xml:space="preserve">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="009571A1"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proofErr w:type="spellEnd"/>
      <w:r w:rsidRPr="0058518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3C79E1" w:rsidRPr="00585181" w:rsidRDefault="003C79E1" w:rsidP="005851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79E1" w:rsidRPr="00585181" w:rsidRDefault="003C79E1" w:rsidP="0058518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C79E1" w:rsidRDefault="00543584" w:rsidP="00C1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8518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58518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8518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8518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85181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5851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85181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5851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C79E1" w:rsidRPr="00585181">
        <w:rPr>
          <w:rFonts w:ascii="Times New Roman" w:hAnsi="Times New Roman" w:cs="Times New Roman"/>
          <w:sz w:val="28"/>
          <w:szCs w:val="28"/>
        </w:rPr>
        <w:t xml:space="preserve">, статьями 45,47,48 Устава </w:t>
      </w:r>
      <w:proofErr w:type="spellStart"/>
      <w:r w:rsidR="009571A1" w:rsidRPr="009571A1">
        <w:rPr>
          <w:rFonts w:ascii="Times New Roman" w:hAnsi="Times New Roman" w:cs="Times New Roman"/>
          <w:sz w:val="28"/>
          <w:szCs w:val="28"/>
        </w:rPr>
        <w:t>Большетеле</w:t>
      </w:r>
      <w:r w:rsidR="009571A1"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 w:rsidR="00AE565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E5658" w:rsidRPr="00585181" w:rsidRDefault="00AE5658" w:rsidP="00C1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9E1" w:rsidRPr="00585181" w:rsidRDefault="00543584" w:rsidP="00C10847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518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w:anchor="P35" w:history="1">
        <w:r w:rsidRPr="00585181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5851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85181">
        <w:rPr>
          <w:rFonts w:ascii="Times New Roman" w:hAnsi="Times New Roman" w:cs="Times New Roman"/>
          <w:b w:val="0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5851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71A1" w:rsidRPr="009571A1">
        <w:rPr>
          <w:rFonts w:ascii="Times New Roman" w:hAnsi="Times New Roman" w:cs="Times New Roman"/>
          <w:b w:val="0"/>
          <w:sz w:val="28"/>
          <w:szCs w:val="28"/>
        </w:rPr>
        <w:t>Большетеле</w:t>
      </w:r>
      <w:r w:rsidR="009571A1">
        <w:rPr>
          <w:rFonts w:ascii="Times New Roman" w:hAnsi="Times New Roman" w:cs="Times New Roman"/>
          <w:b w:val="0"/>
          <w:sz w:val="28"/>
          <w:szCs w:val="28"/>
        </w:rPr>
        <w:t>кского</w:t>
      </w:r>
      <w:proofErr w:type="spellEnd"/>
      <w:r w:rsidRPr="00585181">
        <w:rPr>
          <w:rFonts w:ascii="Times New Roman" w:hAnsi="Times New Roman" w:cs="Times New Roman"/>
          <w:b w:val="0"/>
          <w:sz w:val="28"/>
          <w:szCs w:val="28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="003A0282"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proofErr w:type="spellEnd"/>
      <w:r w:rsidRPr="0058518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C79E1" w:rsidRPr="00585181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</w:t>
      </w:r>
    </w:p>
    <w:p w:rsidR="003C79E1" w:rsidRPr="00585181" w:rsidRDefault="00C10847" w:rsidP="00C10847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79E1" w:rsidRPr="0058518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AE5658">
        <w:rPr>
          <w:rFonts w:ascii="Times New Roman" w:hAnsi="Times New Roman" w:cs="Times New Roman"/>
          <w:sz w:val="28"/>
          <w:szCs w:val="28"/>
        </w:rPr>
        <w:t>распоряжение</w:t>
      </w:r>
      <w:r w:rsidR="003C79E1" w:rsidRPr="005851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571A1" w:rsidRPr="009571A1">
        <w:rPr>
          <w:rFonts w:ascii="Times New Roman" w:hAnsi="Times New Roman" w:cs="Times New Roman"/>
          <w:sz w:val="28"/>
          <w:szCs w:val="28"/>
        </w:rPr>
        <w:t>Большетеле</w:t>
      </w:r>
      <w:r w:rsidR="009571A1"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 w:rsidR="003C79E1" w:rsidRPr="00585181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AE5658">
        <w:rPr>
          <w:rFonts w:ascii="Times New Roman" w:hAnsi="Times New Roman" w:cs="Times New Roman"/>
          <w:sz w:val="28"/>
          <w:szCs w:val="28"/>
        </w:rPr>
        <w:t>вета от 04</w:t>
      </w:r>
      <w:r w:rsidR="003C79E1" w:rsidRPr="00585181">
        <w:rPr>
          <w:rFonts w:ascii="Times New Roman" w:hAnsi="Times New Roman" w:cs="Times New Roman"/>
          <w:sz w:val="28"/>
          <w:szCs w:val="28"/>
        </w:rPr>
        <w:t>.</w:t>
      </w:r>
      <w:r w:rsidR="00543584" w:rsidRPr="00585181">
        <w:rPr>
          <w:rFonts w:ascii="Times New Roman" w:hAnsi="Times New Roman" w:cs="Times New Roman"/>
          <w:sz w:val="28"/>
          <w:szCs w:val="28"/>
        </w:rPr>
        <w:t>0</w:t>
      </w:r>
      <w:r w:rsidR="003C79E1" w:rsidRPr="00585181">
        <w:rPr>
          <w:rFonts w:ascii="Times New Roman" w:hAnsi="Times New Roman" w:cs="Times New Roman"/>
          <w:sz w:val="28"/>
          <w:szCs w:val="28"/>
        </w:rPr>
        <w:t xml:space="preserve">2.2021г. № </w:t>
      </w:r>
      <w:r w:rsidR="009571A1">
        <w:rPr>
          <w:rFonts w:ascii="Times New Roman" w:hAnsi="Times New Roman" w:cs="Times New Roman"/>
          <w:sz w:val="28"/>
          <w:szCs w:val="28"/>
        </w:rPr>
        <w:t>2</w:t>
      </w:r>
      <w:r w:rsidR="00AE5658">
        <w:rPr>
          <w:rFonts w:ascii="Times New Roman" w:hAnsi="Times New Roman" w:cs="Times New Roman"/>
          <w:sz w:val="28"/>
          <w:szCs w:val="28"/>
        </w:rPr>
        <w:t>-р</w:t>
      </w:r>
      <w:r w:rsidR="003C79E1" w:rsidRPr="00585181">
        <w:rPr>
          <w:rFonts w:ascii="Times New Roman" w:hAnsi="Times New Roman" w:cs="Times New Roman"/>
          <w:sz w:val="28"/>
          <w:szCs w:val="28"/>
        </w:rPr>
        <w:t xml:space="preserve"> «</w:t>
      </w:r>
      <w:r w:rsidR="00543584" w:rsidRPr="00585181">
        <w:rPr>
          <w:rFonts w:ascii="Times New Roman" w:hAnsi="Times New Roman" w:cs="Times New Roman"/>
          <w:sz w:val="28"/>
          <w:szCs w:val="28"/>
        </w:rPr>
        <w:t xml:space="preserve">О </w:t>
      </w:r>
      <w:hyperlink r:id="rId9" w:anchor="dst100041" w:history="1">
        <w:r w:rsidR="00543584" w:rsidRPr="0058518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543584" w:rsidRPr="00585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584" w:rsidRPr="00585181">
        <w:rPr>
          <w:rFonts w:ascii="Times New Roman" w:hAnsi="Times New Roman" w:cs="Times New Roman"/>
          <w:bCs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543584" w:rsidRPr="00585181">
        <w:rPr>
          <w:rFonts w:ascii="Times New Roman" w:hAnsi="Times New Roman" w:cs="Times New Roman"/>
          <w:bCs/>
          <w:sz w:val="28"/>
          <w:szCs w:val="28"/>
        </w:rPr>
        <w:t xml:space="preserve"> и администраторов источников финансирования дефицита местного бюджета</w:t>
      </w:r>
      <w:r w:rsidR="003C79E1" w:rsidRPr="005851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3C79E1" w:rsidRPr="00585181" w:rsidRDefault="00C10847" w:rsidP="00C10847">
      <w:pPr>
        <w:pStyle w:val="ConsPlusTitle"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3C79E1" w:rsidRPr="0058518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3C79E1" w:rsidRPr="00585181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оставляю за собой.</w:t>
      </w:r>
    </w:p>
    <w:p w:rsidR="003C79E1" w:rsidRPr="00585181" w:rsidRDefault="00C10847" w:rsidP="00C10847">
      <w:pPr>
        <w:pStyle w:val="ConsPlusTitle"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3C79E1" w:rsidRPr="00585181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</w:t>
      </w:r>
      <w:r w:rsidR="003C79E1" w:rsidRPr="0058518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9571A1">
        <w:rPr>
          <w:rFonts w:ascii="Times New Roman" w:hAnsi="Times New Roman" w:cs="Times New Roman"/>
          <w:b w:val="0"/>
          <w:spacing w:val="-2"/>
          <w:sz w:val="28"/>
          <w:szCs w:val="28"/>
        </w:rPr>
        <w:t>Большетелекский</w:t>
      </w:r>
      <w:proofErr w:type="spellEnd"/>
      <w:r w:rsidR="009571A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сельсовет</w:t>
      </w:r>
      <w:r w:rsidR="003C79E1" w:rsidRPr="0058518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(</w:t>
      </w:r>
      <w:r w:rsidR="009571A1" w:rsidRPr="009571A1">
        <w:t>https://большетелекский</w:t>
      </w:r>
      <w:proofErr w:type="gramStart"/>
      <w:r w:rsidR="009571A1" w:rsidRPr="009571A1">
        <w:t>.р</w:t>
      </w:r>
      <w:proofErr w:type="gramEnd"/>
      <w:r w:rsidR="009571A1" w:rsidRPr="009571A1">
        <w:t>ф</w:t>
      </w:r>
      <w:r w:rsidR="003C79E1" w:rsidRPr="00585181">
        <w:rPr>
          <w:rFonts w:ascii="Times New Roman" w:hAnsi="Times New Roman" w:cs="Times New Roman"/>
          <w:b w:val="0"/>
          <w:spacing w:val="-2"/>
          <w:sz w:val="28"/>
          <w:szCs w:val="28"/>
        </w:rPr>
        <w:t>)</w:t>
      </w:r>
      <w:r w:rsidR="003C79E1" w:rsidRPr="005851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79E1" w:rsidRPr="00585181" w:rsidRDefault="00C10847" w:rsidP="00C10847">
      <w:pPr>
        <w:pStyle w:val="ConsPlusTitle"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3C79E1" w:rsidRPr="0058518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со дня, следующего за днем его официального опубликования (Обнародования) и распространяется на </w:t>
      </w:r>
      <w:proofErr w:type="gramStart"/>
      <w:r w:rsidR="003C79E1" w:rsidRPr="00585181">
        <w:rPr>
          <w:rFonts w:ascii="Times New Roman" w:hAnsi="Times New Roman" w:cs="Times New Roman"/>
          <w:b w:val="0"/>
          <w:sz w:val="28"/>
          <w:szCs w:val="28"/>
        </w:rPr>
        <w:t>правоотношения</w:t>
      </w:r>
      <w:proofErr w:type="gramEnd"/>
      <w:r w:rsidR="003C79E1" w:rsidRPr="00585181">
        <w:rPr>
          <w:rFonts w:ascii="Times New Roman" w:hAnsi="Times New Roman" w:cs="Times New Roman"/>
          <w:b w:val="0"/>
          <w:sz w:val="28"/>
          <w:szCs w:val="28"/>
        </w:rPr>
        <w:t xml:space="preserve"> возникшие с 01.01.2022 года.</w:t>
      </w:r>
    </w:p>
    <w:p w:rsidR="003C79E1" w:rsidRPr="00585181" w:rsidRDefault="003C79E1" w:rsidP="005851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9E1" w:rsidRPr="00585181" w:rsidRDefault="003C79E1" w:rsidP="005851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114C" w:rsidRDefault="00CD114C" w:rsidP="00585181">
      <w:pPr>
        <w:pStyle w:val="a4"/>
        <w:rPr>
          <w:rFonts w:ascii="Times New Roman" w:hAnsi="Times New Roman"/>
          <w:sz w:val="28"/>
          <w:szCs w:val="28"/>
        </w:rPr>
      </w:pPr>
    </w:p>
    <w:p w:rsidR="003C79E1" w:rsidRPr="00585181" w:rsidRDefault="003C79E1" w:rsidP="00585181">
      <w:pPr>
        <w:pStyle w:val="a4"/>
        <w:rPr>
          <w:rFonts w:ascii="Times New Roman" w:hAnsi="Times New Roman"/>
          <w:sz w:val="28"/>
          <w:szCs w:val="28"/>
        </w:rPr>
      </w:pPr>
      <w:r w:rsidRPr="00585181">
        <w:rPr>
          <w:rFonts w:ascii="Times New Roman" w:hAnsi="Times New Roman"/>
          <w:sz w:val="28"/>
          <w:szCs w:val="28"/>
        </w:rPr>
        <w:t xml:space="preserve">Глава </w:t>
      </w:r>
      <w:r w:rsidR="006C27CC">
        <w:rPr>
          <w:rFonts w:ascii="Times New Roman" w:hAnsi="Times New Roman"/>
          <w:sz w:val="28"/>
          <w:szCs w:val="28"/>
        </w:rPr>
        <w:t xml:space="preserve">сельсовета                              </w:t>
      </w:r>
      <w:r w:rsidR="009571A1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C27CC">
        <w:rPr>
          <w:rFonts w:ascii="Times New Roman" w:hAnsi="Times New Roman"/>
          <w:sz w:val="28"/>
          <w:szCs w:val="28"/>
        </w:rPr>
        <w:t>.</w:t>
      </w:r>
      <w:r w:rsidR="009571A1">
        <w:rPr>
          <w:rFonts w:ascii="Times New Roman" w:hAnsi="Times New Roman"/>
          <w:sz w:val="28"/>
          <w:szCs w:val="28"/>
        </w:rPr>
        <w:t xml:space="preserve"> Ю</w:t>
      </w:r>
      <w:r w:rsidR="006C27CC">
        <w:rPr>
          <w:rFonts w:ascii="Times New Roman" w:hAnsi="Times New Roman"/>
          <w:sz w:val="28"/>
          <w:szCs w:val="28"/>
        </w:rPr>
        <w:t>.</w:t>
      </w:r>
      <w:r w:rsidR="009571A1">
        <w:rPr>
          <w:rFonts w:ascii="Times New Roman" w:hAnsi="Times New Roman"/>
          <w:sz w:val="28"/>
          <w:szCs w:val="28"/>
        </w:rPr>
        <w:t xml:space="preserve"> Игнатьев</w:t>
      </w:r>
      <w:r w:rsidRPr="00585181">
        <w:rPr>
          <w:rFonts w:ascii="Times New Roman" w:hAnsi="Times New Roman"/>
          <w:sz w:val="28"/>
          <w:szCs w:val="28"/>
        </w:rPr>
        <w:t xml:space="preserve"> </w:t>
      </w:r>
    </w:p>
    <w:p w:rsidR="003C79E1" w:rsidRPr="00585181" w:rsidRDefault="003C79E1" w:rsidP="0058518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B97" w:rsidRPr="00585181" w:rsidRDefault="007B7B97" w:rsidP="00585181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85181">
        <w:rPr>
          <w:rFonts w:ascii="Times New Roman" w:hAnsi="Times New Roman" w:cs="Times New Roman"/>
          <w:sz w:val="2"/>
          <w:szCs w:val="2"/>
        </w:rPr>
        <w:br w:type="page"/>
      </w:r>
    </w:p>
    <w:p w:rsidR="00543584" w:rsidRPr="00543584" w:rsidRDefault="00543584" w:rsidP="00585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43584" w:rsidRPr="00543584" w:rsidRDefault="009571A1" w:rsidP="00585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E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</w:t>
      </w:r>
      <w:r w:rsidR="00543584" w:rsidRPr="005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43584" w:rsidRPr="00543584" w:rsidRDefault="009571A1" w:rsidP="00585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</w:t>
      </w:r>
      <w:r w:rsidR="006C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кского</w:t>
      </w:r>
      <w:proofErr w:type="spellEnd"/>
      <w:r w:rsidR="00543584" w:rsidRPr="005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43584" w:rsidRPr="00E221E5" w:rsidRDefault="00543584" w:rsidP="00585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71A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3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51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2.2021 г. № </w:t>
      </w:r>
      <w:r w:rsidR="003A028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221E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bookmarkStart w:id="0" w:name="_GoBack"/>
      <w:bookmarkEnd w:id="0"/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21" w:rsidRPr="00585181" w:rsidRDefault="00E86221" w:rsidP="00585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585181">
        <w:rPr>
          <w:rFonts w:ascii="Times New Roman" w:hAnsi="Times New Roman" w:cs="Times New Roman"/>
          <w:sz w:val="24"/>
          <w:szCs w:val="24"/>
        </w:rPr>
        <w:t>ПОРЯДОК</w:t>
      </w:r>
    </w:p>
    <w:p w:rsidR="00E86221" w:rsidRPr="00585181" w:rsidRDefault="00E86221" w:rsidP="00585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E86221" w:rsidRPr="00585181" w:rsidRDefault="00E86221" w:rsidP="00585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A0282">
        <w:rPr>
          <w:rFonts w:ascii="Times New Roman" w:hAnsi="Times New Roman" w:cs="Times New Roman"/>
          <w:sz w:val="24"/>
          <w:szCs w:val="24"/>
        </w:rPr>
        <w:t>БОЛЬШЕТЕЛЕК</w:t>
      </w:r>
      <w:r w:rsidR="00D774DA" w:rsidRPr="00585181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И ОПЛАТЫ ДЕНЕЖНЫХ</w:t>
      </w:r>
      <w:r w:rsidR="00585181" w:rsidRPr="00585181">
        <w:rPr>
          <w:rFonts w:ascii="Times New Roman" w:hAnsi="Times New Roman" w:cs="Times New Roman"/>
          <w:sz w:val="24"/>
          <w:szCs w:val="24"/>
        </w:rPr>
        <w:t xml:space="preserve"> </w:t>
      </w:r>
      <w:r w:rsidRPr="00585181">
        <w:rPr>
          <w:rFonts w:ascii="Times New Roman" w:hAnsi="Times New Roman" w:cs="Times New Roman"/>
          <w:sz w:val="24"/>
          <w:szCs w:val="24"/>
        </w:rPr>
        <w:t>ОБЯЗАТЕЛЬСТВ, ПОДЛЕЖАЩИХ ИСПОЛНЕНИЮ ЗА СЧЕТ БЮДЖЕТНЫХ</w:t>
      </w:r>
      <w:r w:rsidR="00585181" w:rsidRPr="00585181">
        <w:rPr>
          <w:rFonts w:ascii="Times New Roman" w:hAnsi="Times New Roman" w:cs="Times New Roman"/>
          <w:sz w:val="24"/>
          <w:szCs w:val="24"/>
        </w:rPr>
        <w:t xml:space="preserve"> </w:t>
      </w:r>
      <w:r w:rsidRPr="00585181">
        <w:rPr>
          <w:rFonts w:ascii="Times New Roman" w:hAnsi="Times New Roman" w:cs="Times New Roman"/>
          <w:sz w:val="24"/>
          <w:szCs w:val="24"/>
        </w:rPr>
        <w:t>АССИГНОВАНИЙ ПО ИСТОЧНИКАМ ФИНАНСИРОВАНИЯ ДЕФИЦИТА</w:t>
      </w:r>
      <w:r w:rsidR="00585181" w:rsidRPr="00585181">
        <w:rPr>
          <w:rFonts w:ascii="Times New Roman" w:hAnsi="Times New Roman" w:cs="Times New Roman"/>
          <w:sz w:val="24"/>
          <w:szCs w:val="24"/>
        </w:rPr>
        <w:t xml:space="preserve">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A0282">
        <w:rPr>
          <w:rFonts w:ascii="Times New Roman" w:hAnsi="Times New Roman" w:cs="Times New Roman"/>
          <w:sz w:val="24"/>
          <w:szCs w:val="24"/>
        </w:rPr>
        <w:t>БОЛЬШЕТЕЛЕК</w:t>
      </w:r>
      <w:r w:rsidR="003A0282" w:rsidRPr="00585181">
        <w:rPr>
          <w:rFonts w:ascii="Times New Roman" w:hAnsi="Times New Roman" w:cs="Times New Roman"/>
          <w:sz w:val="24"/>
          <w:szCs w:val="24"/>
        </w:rPr>
        <w:t>СКОГО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санкционирования территориальными органами Федерального казначейства (далее - органы Федерального казначейства) оплаты за счет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денежных обязательств получателей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6C27CC">
        <w:rPr>
          <w:rFonts w:ascii="Times New Roman" w:hAnsi="Times New Roman" w:cs="Times New Roman"/>
          <w:sz w:val="24"/>
          <w:szCs w:val="24"/>
        </w:rPr>
        <w:t xml:space="preserve"> </w:t>
      </w:r>
      <w:r w:rsidR="00D774DA" w:rsidRPr="00585181">
        <w:rPr>
          <w:rFonts w:ascii="Times New Roman" w:hAnsi="Times New Roman" w:cs="Times New Roman"/>
          <w:sz w:val="24"/>
          <w:szCs w:val="24"/>
        </w:rPr>
        <w:t>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(администратор источников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установл</w:t>
      </w:r>
      <w:r w:rsidR="00D774DA" w:rsidRPr="00585181">
        <w:rPr>
          <w:rFonts w:ascii="Times New Roman" w:hAnsi="Times New Roman" w:cs="Times New Roman"/>
          <w:sz w:val="24"/>
          <w:szCs w:val="24"/>
        </w:rPr>
        <w:t>енным Федеральным казначейством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(далее - Распоряжение, порядок казначейского обслуживания).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585181">
        <w:rPr>
          <w:rFonts w:ascii="Times New Roman" w:hAnsi="Times New Roman" w:cs="Times New Roman"/>
          <w:sz w:val="24"/>
          <w:szCs w:val="24"/>
        </w:rPr>
        <w:t xml:space="preserve">3. 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585181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585181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87" w:history="1">
        <w:r w:rsidRPr="00585181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58518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585181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3" w:history="1">
        <w:r w:rsidRPr="0058518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585181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8" w:history="1">
        <w:r w:rsidRPr="00585181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представления получателем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(администратором источников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) Распоряжения в орган Федерального казначейства;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не позднее четвертого рабочего дня, следующего за днем представления получателем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Распоряжения в орган Федерального казначейства, в случаях, установленных </w:t>
      </w:r>
      <w:hyperlink w:anchor="P114" w:history="1">
        <w:r w:rsidRPr="00585181">
          <w:rPr>
            <w:rFonts w:ascii="Times New Roman" w:hAnsi="Times New Roman" w:cs="Times New Roman"/>
            <w:sz w:val="24"/>
            <w:szCs w:val="24"/>
          </w:rPr>
          <w:t>абзацем вторым подпункта 16 пункта 6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585181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(администратором источников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) для открытия соответствующего лицевого счета в порядке, установл</w:t>
      </w:r>
      <w:r w:rsidR="008F2DC4" w:rsidRPr="00585181">
        <w:rPr>
          <w:rFonts w:ascii="Times New Roman" w:hAnsi="Times New Roman" w:cs="Times New Roman"/>
          <w:sz w:val="24"/>
          <w:szCs w:val="24"/>
        </w:rPr>
        <w:t>енным Федеральным казначейством</w:t>
      </w:r>
      <w:r w:rsidRPr="00585181">
        <w:rPr>
          <w:rFonts w:ascii="Times New Roman" w:hAnsi="Times New Roman" w:cs="Times New Roman"/>
          <w:sz w:val="24"/>
          <w:szCs w:val="24"/>
        </w:rPr>
        <w:t>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81">
        <w:rPr>
          <w:rFonts w:ascii="Times New Roman" w:hAnsi="Times New Roman" w:cs="Times New Roman"/>
          <w:sz w:val="24"/>
          <w:szCs w:val="24"/>
        </w:rPr>
        <w:lastRenderedPageBreak/>
        <w:t xml:space="preserve">3) кодов классификации расходов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(классификации источников финансирования дефицитов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, кода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информационных систем и компонентов информационно-телекоммуникационной инфраструктуры (далее - мероприятие по информатизации), доведенных до органа Федерального казначейства в соответствии с порядком составления и ведения сводной бюджетной росписи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 (далее - Порядок составления и ведения сводной бюджетной росписи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или с реализацией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мероприятий по информатизации, а также текстового назначения платежа;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10" w:history="1">
        <w:r w:rsidRPr="00585181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6) вида средств (средства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, средства для финансирования оперативно-розыскных мероприятий);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8) номера учтенного в органе Федерального казначейства бюджетного обязательства и номера денежного обязательства получателя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9) номера и серии чека;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10) срока действия чека;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11) фамилии, имени и отчества получателя средств по чеку;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12) данных документов, удостоверяющих личность получателя средств по чеку;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</w:t>
      </w:r>
      <w:r w:rsidR="00F247B2" w:rsidRPr="00585181">
        <w:rPr>
          <w:rFonts w:ascii="Times New Roman" w:hAnsi="Times New Roman" w:cs="Times New Roman"/>
          <w:sz w:val="24"/>
          <w:szCs w:val="24"/>
        </w:rPr>
        <w:t>ю систему Российской Федерации;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proofErr w:type="gramStart"/>
      <w:r w:rsidRPr="00585181">
        <w:rPr>
          <w:rFonts w:ascii="Times New Roman" w:hAnsi="Times New Roman" w:cs="Times New Roman"/>
          <w:sz w:val="24"/>
          <w:szCs w:val="24"/>
        </w:rPr>
        <w:t>14) реквизитов (номер, дата) документов (договора,</w:t>
      </w:r>
      <w:r w:rsidR="008528CF" w:rsidRPr="00585181">
        <w:rPr>
          <w:rFonts w:ascii="Times New Roman" w:hAnsi="Times New Roman" w:cs="Times New Roman"/>
          <w:sz w:val="24"/>
          <w:szCs w:val="24"/>
        </w:rPr>
        <w:t xml:space="preserve">  договора ГПХ,</w:t>
      </w:r>
      <w:r w:rsidRPr="00585181">
        <w:rPr>
          <w:rFonts w:ascii="Times New Roman" w:hAnsi="Times New Roman" w:cs="Times New Roman"/>
          <w:sz w:val="24"/>
          <w:szCs w:val="24"/>
        </w:rPr>
        <w:t xml:space="preserve"> </w:t>
      </w:r>
      <w:r w:rsidR="008528CF" w:rsidRPr="00585181">
        <w:rPr>
          <w:rFonts w:ascii="Times New Roman" w:hAnsi="Times New Roman" w:cs="Times New Roman"/>
          <w:sz w:val="24"/>
          <w:szCs w:val="24"/>
        </w:rPr>
        <w:t>государственного контракта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, </w:t>
      </w:r>
      <w:r w:rsidR="008528CF" w:rsidRPr="00585181">
        <w:rPr>
          <w:rFonts w:ascii="Times New Roman" w:hAnsi="Times New Roman" w:cs="Times New Roman"/>
          <w:sz w:val="24"/>
          <w:szCs w:val="24"/>
        </w:rPr>
        <w:t xml:space="preserve">муниципального контракта, </w:t>
      </w:r>
      <w:r w:rsidRPr="00585181">
        <w:rPr>
          <w:rFonts w:ascii="Times New Roman" w:hAnsi="Times New Roman" w:cs="Times New Roman"/>
          <w:sz w:val="24"/>
          <w:szCs w:val="24"/>
        </w:rPr>
        <w:t xml:space="preserve">соглашения) (при наличии), на основании которых возникают бюджетные обязательства получателей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, и документов, подтверждающих возникновение денежных обязательств получателей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, предоставляемых получателями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при постановке на учет бюджетных и денежных обязательств в соответствии с порядком учета территориальными органами Федерального казначейства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бюджетных и денежных обязательств получателей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528CF" w:rsidRPr="00585181">
        <w:rPr>
          <w:rFonts w:ascii="Times New Roman" w:hAnsi="Times New Roman" w:cs="Times New Roman"/>
          <w:sz w:val="24"/>
          <w:szCs w:val="24"/>
        </w:rPr>
        <w:t>.</w:t>
      </w:r>
      <w:r w:rsidRPr="00585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81">
        <w:rPr>
          <w:rFonts w:ascii="Times New Roman" w:hAnsi="Times New Roman" w:cs="Times New Roman"/>
          <w:sz w:val="24"/>
          <w:szCs w:val="24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учае осуществления авансовых платежей в соответствии с условиями договора </w:t>
      </w:r>
      <w:r w:rsidRPr="00585181">
        <w:rPr>
          <w:rFonts w:ascii="Times New Roman" w:hAnsi="Times New Roman" w:cs="Times New Roman"/>
          <w:sz w:val="24"/>
          <w:szCs w:val="24"/>
        </w:rPr>
        <w:lastRenderedPageBreak/>
        <w:t>(государственного</w:t>
      </w:r>
      <w:r w:rsidR="008528CF" w:rsidRPr="00585181">
        <w:rPr>
          <w:rFonts w:ascii="Times New Roman" w:hAnsi="Times New Roman" w:cs="Times New Roman"/>
          <w:sz w:val="24"/>
          <w:szCs w:val="24"/>
        </w:rPr>
        <w:t>, муниципального</w:t>
      </w:r>
      <w:r w:rsidRPr="00585181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</w:t>
      </w:r>
      <w:r w:rsidR="008528CF" w:rsidRPr="00585181">
        <w:rPr>
          <w:rFonts w:ascii="Times New Roman" w:hAnsi="Times New Roman" w:cs="Times New Roman"/>
          <w:sz w:val="24"/>
          <w:szCs w:val="24"/>
        </w:rPr>
        <w:t>государственного, муниципального контракта</w:t>
      </w:r>
      <w:r w:rsidRPr="00585181">
        <w:rPr>
          <w:rFonts w:ascii="Times New Roman" w:hAnsi="Times New Roman" w:cs="Times New Roman"/>
          <w:sz w:val="24"/>
          <w:szCs w:val="24"/>
        </w:rPr>
        <w:t>), если условиями таких договоров (</w:t>
      </w:r>
      <w:r w:rsidR="008528CF" w:rsidRPr="00585181">
        <w:rPr>
          <w:rFonts w:ascii="Times New Roman" w:hAnsi="Times New Roman" w:cs="Times New Roman"/>
          <w:sz w:val="24"/>
          <w:szCs w:val="24"/>
        </w:rPr>
        <w:t>государственного, муниципального контракта</w:t>
      </w:r>
      <w:r w:rsidRPr="00585181">
        <w:rPr>
          <w:rFonts w:ascii="Times New Roman" w:hAnsi="Times New Roman" w:cs="Times New Roman"/>
          <w:sz w:val="24"/>
          <w:szCs w:val="24"/>
        </w:rPr>
        <w:t>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 w:rsidRPr="00585181">
        <w:rPr>
          <w:rFonts w:ascii="Times New Roman" w:hAnsi="Times New Roman" w:cs="Times New Roman"/>
          <w:sz w:val="24"/>
          <w:szCs w:val="24"/>
        </w:rPr>
        <w:t>16) кода источника поступлений целевых сре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2"/>
      <w:bookmarkEnd w:id="6"/>
      <w:r w:rsidRPr="00585181">
        <w:rPr>
          <w:rFonts w:ascii="Times New Roman" w:hAnsi="Times New Roman" w:cs="Times New Roman"/>
          <w:sz w:val="24"/>
          <w:szCs w:val="24"/>
        </w:rPr>
        <w:t xml:space="preserve">5. Требования </w:t>
      </w:r>
      <w:hyperlink w:anchor="P76" w:history="1">
        <w:r w:rsidRPr="00585181">
          <w:rPr>
            <w:rFonts w:ascii="Times New Roman" w:hAnsi="Times New Roman" w:cs="Times New Roman"/>
            <w:sz w:val="24"/>
            <w:szCs w:val="24"/>
          </w:rPr>
          <w:t>подпунктов 14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1" w:history="1">
        <w:r w:rsidRPr="00585181">
          <w:rPr>
            <w:rFonts w:ascii="Times New Roman" w:hAnsi="Times New Roman" w:cs="Times New Roman"/>
            <w:sz w:val="24"/>
            <w:szCs w:val="24"/>
          </w:rPr>
          <w:t>16 пункта 4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отношении: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получателям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>бюджета Екатерининского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, осуществляющим в соответствии с бюджетным законодательством Российской Федерации операции со средствами </w:t>
      </w:r>
      <w:r w:rsidR="00D774DA" w:rsidRPr="00585181">
        <w:rPr>
          <w:rFonts w:ascii="Times New Roman" w:hAnsi="Times New Roman" w:cs="Times New Roman"/>
          <w:sz w:val="24"/>
          <w:szCs w:val="24"/>
        </w:rPr>
        <w:t>бюджета Екатерининского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, находящимся за пределами Российской Федерации и получающим средства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от главного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распорядителя (распорядителя)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в иностранной валюте;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Распоряжения при перечислении сре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уктурным (обособленным) подразделениям получателей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, не наделенным полномочиями по ведению бюджетного учета.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585181">
          <w:rPr>
            <w:rFonts w:ascii="Times New Roman" w:hAnsi="Times New Roman" w:cs="Times New Roman"/>
            <w:sz w:val="24"/>
            <w:szCs w:val="24"/>
          </w:rPr>
          <w:t>подпункта 14 пункта 4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(классификации источников финансирования дефицитов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(администратора источников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).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585181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 w:rsidRPr="00585181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D774DA" w:rsidRPr="0058518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4) не</w:t>
      </w:r>
      <w:r w:rsidR="004D375E">
        <w:rPr>
          <w:rFonts w:ascii="Times New Roman" w:hAnsi="Times New Roman" w:cs="Times New Roman"/>
          <w:sz w:val="24"/>
          <w:szCs w:val="24"/>
        </w:rPr>
        <w:t xml:space="preserve"> </w:t>
      </w:r>
      <w:r w:rsidRPr="00585181">
        <w:rPr>
          <w:rFonts w:ascii="Times New Roman" w:hAnsi="Times New Roman" w:cs="Times New Roman"/>
          <w:sz w:val="24"/>
          <w:szCs w:val="24"/>
        </w:rPr>
        <w:t>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</w:t>
      </w:r>
      <w:r w:rsidRPr="00585181">
        <w:rPr>
          <w:rFonts w:ascii="Times New Roman" w:hAnsi="Times New Roman" w:cs="Times New Roman"/>
          <w:sz w:val="24"/>
          <w:szCs w:val="24"/>
        </w:rPr>
        <w:lastRenderedPageBreak/>
        <w:t>бюджетном обязательстве;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>бюджета Екатерининского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на соответствующие казначейские счета;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по денежному обязательству и платежу;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81">
        <w:rPr>
          <w:rFonts w:ascii="Times New Roman" w:hAnsi="Times New Roman" w:cs="Times New Roman"/>
          <w:sz w:val="24"/>
          <w:szCs w:val="24"/>
        </w:rPr>
        <w:t>10) не</w:t>
      </w:r>
      <w:r w:rsidR="004D375E">
        <w:rPr>
          <w:rFonts w:ascii="Times New Roman" w:hAnsi="Times New Roman" w:cs="Times New Roman"/>
          <w:sz w:val="24"/>
          <w:szCs w:val="24"/>
        </w:rPr>
        <w:t xml:space="preserve"> </w:t>
      </w:r>
      <w:r w:rsidRPr="00585181">
        <w:rPr>
          <w:rFonts w:ascii="Times New Roman" w:hAnsi="Times New Roman" w:cs="Times New Roman"/>
          <w:sz w:val="24"/>
          <w:szCs w:val="24"/>
        </w:rPr>
        <w:t>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11) соответствие кода классификации расходов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платежу;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12) не</w:t>
      </w:r>
      <w:r w:rsidR="004D375E">
        <w:rPr>
          <w:rFonts w:ascii="Times New Roman" w:hAnsi="Times New Roman" w:cs="Times New Roman"/>
          <w:sz w:val="24"/>
          <w:szCs w:val="24"/>
        </w:rPr>
        <w:t xml:space="preserve"> </w:t>
      </w:r>
      <w:r w:rsidRPr="00585181">
        <w:rPr>
          <w:rFonts w:ascii="Times New Roman" w:hAnsi="Times New Roman" w:cs="Times New Roman"/>
          <w:sz w:val="24"/>
          <w:szCs w:val="24"/>
        </w:rPr>
        <w:t>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3"/>
      <w:bookmarkEnd w:id="9"/>
      <w:proofErr w:type="gramStart"/>
      <w:r w:rsidRPr="00585181">
        <w:rPr>
          <w:rFonts w:ascii="Times New Roman" w:hAnsi="Times New Roman" w:cs="Times New Roman"/>
          <w:sz w:val="24"/>
          <w:szCs w:val="24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</w:t>
      </w:r>
      <w:r w:rsidR="004A3A8E" w:rsidRPr="00585181">
        <w:rPr>
          <w:rFonts w:ascii="Times New Roman" w:hAnsi="Times New Roman" w:cs="Times New Roman"/>
          <w:sz w:val="24"/>
          <w:szCs w:val="24"/>
        </w:rPr>
        <w:t>держащих государственную тайну)</w:t>
      </w:r>
      <w:r w:rsidRPr="00585181">
        <w:rPr>
          <w:rFonts w:ascii="Times New Roman" w:hAnsi="Times New Roman" w:cs="Times New Roman"/>
          <w:sz w:val="24"/>
          <w:szCs w:val="24"/>
        </w:rPr>
        <w:t>, договору (</w:t>
      </w:r>
      <w:r w:rsidR="004A3A8E" w:rsidRPr="00585181">
        <w:rPr>
          <w:rFonts w:ascii="Times New Roman" w:hAnsi="Times New Roman" w:cs="Times New Roman"/>
          <w:sz w:val="24"/>
          <w:szCs w:val="24"/>
        </w:rPr>
        <w:t>государственного, муниципального контракта</w:t>
      </w:r>
      <w:r w:rsidRPr="00585181">
        <w:rPr>
          <w:rFonts w:ascii="Times New Roman" w:hAnsi="Times New Roman" w:cs="Times New Roman"/>
          <w:sz w:val="24"/>
          <w:szCs w:val="24"/>
        </w:rPr>
        <w:t>), подлежащему включению в реестр контрактов или реестр контрактов, составляющих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государственную тайну,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в Распоряжении.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</w:t>
      </w:r>
      <w:r w:rsidR="004A3A8E" w:rsidRPr="00585181">
        <w:rPr>
          <w:rFonts w:ascii="Times New Roman" w:hAnsi="Times New Roman" w:cs="Times New Roman"/>
          <w:sz w:val="24"/>
          <w:szCs w:val="24"/>
        </w:rPr>
        <w:t>государственному, муниципальному контракту</w:t>
      </w:r>
      <w:r w:rsidRPr="00585181">
        <w:rPr>
          <w:rFonts w:ascii="Times New Roman" w:hAnsi="Times New Roman" w:cs="Times New Roman"/>
          <w:sz w:val="24"/>
          <w:szCs w:val="24"/>
        </w:rPr>
        <w:t>), содержащему сведения, составляющие государственную тайну;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8"/>
      <w:bookmarkEnd w:id="10"/>
      <w:r w:rsidRPr="00585181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585181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585181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(постановлением Правительства Российской Федерации);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9"/>
      <w:bookmarkEnd w:id="11"/>
      <w:r w:rsidRPr="00585181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585181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585181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0"/>
      <w:bookmarkEnd w:id="12"/>
      <w:r w:rsidRPr="00585181">
        <w:rPr>
          <w:rFonts w:ascii="Times New Roman" w:hAnsi="Times New Roman" w:cs="Times New Roman"/>
          <w:sz w:val="24"/>
          <w:szCs w:val="24"/>
        </w:rPr>
        <w:t>16) наличие размещенного в реестре государственных</w:t>
      </w:r>
      <w:r w:rsidR="00191667" w:rsidRPr="00585181">
        <w:rPr>
          <w:rFonts w:ascii="Times New Roman" w:hAnsi="Times New Roman" w:cs="Times New Roman"/>
          <w:sz w:val="24"/>
          <w:szCs w:val="24"/>
        </w:rPr>
        <w:t>, м</w:t>
      </w:r>
      <w:r w:rsidR="00094A4F" w:rsidRPr="00585181">
        <w:rPr>
          <w:rFonts w:ascii="Times New Roman" w:hAnsi="Times New Roman" w:cs="Times New Roman"/>
          <w:sz w:val="24"/>
          <w:szCs w:val="24"/>
        </w:rPr>
        <w:t>униципальных</w:t>
      </w:r>
      <w:r w:rsidRPr="00585181">
        <w:rPr>
          <w:rFonts w:ascii="Times New Roman" w:hAnsi="Times New Roman" w:cs="Times New Roman"/>
          <w:sz w:val="24"/>
          <w:szCs w:val="24"/>
        </w:rPr>
        <w:t xml:space="preserve"> заданий на оказание государственных услуг (выполнение работ) на едином портале бюджетной системы Российской Федерации государственного задания на оказание государственных услуг (выполнение работ), в порядке, установленном Министерством финансов Российской Федерации, в случае представления Распоряжения при перечислении субсидии на финансовое обеспечение выполнения государственного задания.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4"/>
      <w:bookmarkEnd w:id="13"/>
      <w:proofErr w:type="gramStart"/>
      <w:r w:rsidRPr="00585181">
        <w:rPr>
          <w:rFonts w:ascii="Times New Roman" w:hAnsi="Times New Roman" w:cs="Times New Roman"/>
          <w:sz w:val="24"/>
          <w:szCs w:val="24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5"/>
      <w:bookmarkEnd w:id="14"/>
      <w:r w:rsidRPr="0058518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В случае если Распоряжение представляется для оплаты денежного обязательства, </w:t>
      </w:r>
      <w:r w:rsidRPr="00585181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сформированного органом Федерального казначейства в соответствии с порядком учета обязательств, получатель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  <w:proofErr w:type="gramEnd"/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585181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7"/>
      <w:bookmarkEnd w:id="15"/>
      <w:r w:rsidRPr="0058518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обязательств, возникших из заключенных государственных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Pr="00585181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казначейства в соответствии с Порядком составления и ведения сводной бюджетной росписи </w:t>
      </w:r>
      <w:r w:rsidR="00D774DA" w:rsidRPr="00585181">
        <w:rPr>
          <w:rFonts w:ascii="Times New Roman" w:hAnsi="Times New Roman" w:cs="Times New Roman"/>
          <w:sz w:val="24"/>
          <w:szCs w:val="24"/>
        </w:rPr>
        <w:t>бюджета Екатерининского сельсовета</w:t>
      </w:r>
      <w:r w:rsidRPr="005851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8"/>
      <w:bookmarkEnd w:id="16"/>
      <w:r w:rsidRPr="0058518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, получатель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представляет в орган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Федерального казначейства по месту обслуживания не позднее представления Распоряжения на оплату денежного обязательства по договору (государственному контракту) Распоряжение на перечисление в доход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суммы неустойки (штрафа, пеней) по данному договору (государственному контракту).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9"/>
      <w:bookmarkEnd w:id="17"/>
      <w:r w:rsidRPr="00585181">
        <w:rPr>
          <w:rFonts w:ascii="Times New Roman" w:hAnsi="Times New Roman" w:cs="Times New Roman"/>
          <w:sz w:val="24"/>
          <w:szCs w:val="24"/>
        </w:rPr>
        <w:t>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D774DA" w:rsidRPr="0058518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85181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585181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3"/>
      <w:bookmarkEnd w:id="18"/>
      <w:r w:rsidRPr="00585181">
        <w:rPr>
          <w:rFonts w:ascii="Times New Roman" w:hAnsi="Times New Roman" w:cs="Times New Roman"/>
          <w:sz w:val="24"/>
          <w:szCs w:val="24"/>
        </w:rPr>
        <w:t xml:space="preserve">11. При санкционировании оплаты денежных обязательств по перечислениям по источникам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осуществляется проверка Распоряжения по следующим направлениям: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кодов классификации источников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85181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585181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</w:t>
      </w:r>
      <w:r w:rsidRPr="00585181"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585181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58518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585181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Pr="00585181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585181">
          <w:rPr>
            <w:rFonts w:ascii="Times New Roman" w:hAnsi="Times New Roman" w:cs="Times New Roman"/>
            <w:sz w:val="24"/>
            <w:szCs w:val="24"/>
          </w:rPr>
          <w:t>16 пункта 6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585181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58518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585181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3" w:history="1">
        <w:r w:rsidRPr="0058518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условий, установленных </w:t>
      </w:r>
      <w:hyperlink w:anchor="P118" w:history="1">
        <w:r w:rsidRPr="00585181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585181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</w:t>
      </w:r>
      <w:r w:rsidR="00BB37FA" w:rsidRPr="00585181">
        <w:rPr>
          <w:rFonts w:ascii="Times New Roman" w:hAnsi="Times New Roman" w:cs="Times New Roman"/>
          <w:sz w:val="24"/>
          <w:szCs w:val="24"/>
        </w:rPr>
        <w:t>я системы казначейских платежей.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условий, установленных </w:t>
      </w:r>
      <w:hyperlink w:anchor="P108" w:history="1">
        <w:r w:rsidRPr="00585181">
          <w:rPr>
            <w:rFonts w:ascii="Times New Roman" w:hAnsi="Times New Roman" w:cs="Times New Roman"/>
            <w:sz w:val="24"/>
            <w:szCs w:val="24"/>
          </w:rPr>
          <w:t>подпунктами 14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109" w:history="1">
        <w:r w:rsidRPr="00585181">
          <w:rPr>
            <w:rFonts w:ascii="Times New Roman" w:hAnsi="Times New Roman" w:cs="Times New Roman"/>
            <w:sz w:val="24"/>
            <w:szCs w:val="24"/>
          </w:rPr>
          <w:t>15 пункта 6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 о нарушении установленных предельных размеров авансового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платежа по форме согласно </w:t>
      </w:r>
      <w:hyperlink w:anchor="P155" w:history="1">
        <w:r w:rsidRPr="00585181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585181">
        <w:rPr>
          <w:rFonts w:ascii="Times New Roman" w:hAnsi="Times New Roman" w:cs="Times New Roman"/>
          <w:sz w:val="24"/>
          <w:szCs w:val="24"/>
        </w:rPr>
        <w:t xml:space="preserve"> к настоящему Порядку &lt;11&gt;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585181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="00EC4178" w:rsidRPr="00585181">
        <w:rPr>
          <w:rFonts w:ascii="Times New Roman" w:hAnsi="Times New Roman" w:cs="Times New Roman"/>
          <w:sz w:val="24"/>
          <w:szCs w:val="24"/>
        </w:rPr>
        <w:t xml:space="preserve"> к настоящему Порядку 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(код формы по КФД 0504714), а также обеспечивает доведение указанной информации до главного распорядителя (распорядителя)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, в ведении которого находится допустивший</w:t>
      </w:r>
      <w:proofErr w:type="gramEnd"/>
      <w:r w:rsidRPr="00585181">
        <w:rPr>
          <w:rFonts w:ascii="Times New Roman" w:hAnsi="Times New Roman" w:cs="Times New Roman"/>
          <w:sz w:val="24"/>
          <w:szCs w:val="24"/>
        </w:rPr>
        <w:t xml:space="preserve"> нарушение получатель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(администратора источников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E86221" w:rsidRPr="00585181" w:rsidRDefault="00E86221" w:rsidP="00585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181">
        <w:rPr>
          <w:rFonts w:ascii="Times New Roman" w:hAnsi="Times New Roman" w:cs="Times New Roman"/>
          <w:sz w:val="24"/>
          <w:szCs w:val="24"/>
        </w:rPr>
        <w:t xml:space="preserve">14. Представление и хранение Распоряжения для санкционирования </w:t>
      </w:r>
      <w:proofErr w:type="gramStart"/>
      <w:r w:rsidRPr="00585181">
        <w:rPr>
          <w:rFonts w:ascii="Times New Roman" w:hAnsi="Times New Roman" w:cs="Times New Roman"/>
          <w:sz w:val="24"/>
          <w:szCs w:val="24"/>
        </w:rPr>
        <w:t xml:space="preserve">оплаты денежных обязательств получателей средств </w:t>
      </w:r>
      <w:r w:rsidR="00D774DA" w:rsidRPr="0058518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дефицита </w:t>
      </w:r>
      <w:r w:rsidR="00D774DA" w:rsidRPr="0058518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85181">
        <w:rPr>
          <w:rFonts w:ascii="Times New Roman" w:hAnsi="Times New Roman" w:cs="Times New Roman"/>
          <w:sz w:val="24"/>
          <w:szCs w:val="24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178" w:rsidRPr="00585181" w:rsidRDefault="00EC4178" w:rsidP="00585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81">
        <w:rPr>
          <w:rFonts w:ascii="Times New Roman" w:hAnsi="Times New Roman" w:cs="Times New Roman"/>
          <w:sz w:val="24"/>
          <w:szCs w:val="24"/>
        </w:rPr>
        <w:br w:type="page"/>
      </w:r>
    </w:p>
    <w:p w:rsidR="00E86221" w:rsidRPr="00585181" w:rsidRDefault="00E86221" w:rsidP="00585181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E86221" w:rsidRPr="00585181" w:rsidRDefault="00E86221" w:rsidP="0058518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к Порядку санкционирования оплаты</w:t>
      </w:r>
    </w:p>
    <w:p w:rsidR="00E86221" w:rsidRPr="00585181" w:rsidRDefault="00E86221" w:rsidP="0058518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денежных обязательств получателей</w:t>
      </w:r>
    </w:p>
    <w:p w:rsidR="00E86221" w:rsidRPr="00585181" w:rsidRDefault="00E86221" w:rsidP="0058518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 xml:space="preserve">средств </w:t>
      </w:r>
      <w:r w:rsidR="00D774DA" w:rsidRPr="00585181">
        <w:rPr>
          <w:rFonts w:ascii="Times New Roman" w:hAnsi="Times New Roman" w:cs="Times New Roman"/>
          <w:sz w:val="16"/>
          <w:szCs w:val="16"/>
        </w:rPr>
        <w:t xml:space="preserve">бюджета </w:t>
      </w:r>
      <w:proofErr w:type="spellStart"/>
      <w:r w:rsidR="003A0282">
        <w:rPr>
          <w:rFonts w:ascii="Times New Roman" w:hAnsi="Times New Roman" w:cs="Times New Roman"/>
          <w:sz w:val="16"/>
          <w:szCs w:val="16"/>
        </w:rPr>
        <w:t>Большетелекского</w:t>
      </w:r>
      <w:proofErr w:type="spellEnd"/>
      <w:r w:rsidR="00D774DA" w:rsidRPr="00585181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E86221" w:rsidRPr="00585181" w:rsidRDefault="00E86221" w:rsidP="0058518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и оплаты денежных обязательств,</w:t>
      </w:r>
    </w:p>
    <w:p w:rsidR="00E86221" w:rsidRPr="00585181" w:rsidRDefault="00E86221" w:rsidP="0058518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подлежащих исполнению за счет</w:t>
      </w:r>
    </w:p>
    <w:p w:rsidR="00E86221" w:rsidRPr="00585181" w:rsidRDefault="00E86221" w:rsidP="0058518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бюджетных ассигнований по источникам</w:t>
      </w:r>
    </w:p>
    <w:p w:rsidR="006E3F46" w:rsidRPr="00585181" w:rsidRDefault="00E86221" w:rsidP="0058518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 xml:space="preserve">финансирования дефицита </w:t>
      </w:r>
      <w:r w:rsidR="006E3F46" w:rsidRPr="00585181">
        <w:rPr>
          <w:rFonts w:ascii="Times New Roman" w:hAnsi="Times New Roman" w:cs="Times New Roman"/>
          <w:sz w:val="16"/>
          <w:szCs w:val="16"/>
        </w:rPr>
        <w:t xml:space="preserve">бюджета </w:t>
      </w:r>
    </w:p>
    <w:p w:rsidR="00E86221" w:rsidRPr="00585181" w:rsidRDefault="003A0282" w:rsidP="0058518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Большетелекского</w:t>
      </w:r>
      <w:proofErr w:type="spellEnd"/>
      <w:r w:rsidR="006E3F46" w:rsidRPr="00585181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86221" w:rsidRPr="0058518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" w:name="P155"/>
            <w:bookmarkEnd w:id="19"/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УВЕДОМЛЕНИЕ N _____</w:t>
            </w:r>
          </w:p>
          <w:p w:rsidR="00E86221" w:rsidRPr="00585181" w:rsidRDefault="00E86221" w:rsidP="00585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о нарушении установленных предельных размеров авансового платежа</w:t>
            </w:r>
          </w:p>
        </w:tc>
      </w:tr>
    </w:tbl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95"/>
        <w:gridCol w:w="366"/>
        <w:gridCol w:w="2501"/>
        <w:gridCol w:w="366"/>
        <w:gridCol w:w="2075"/>
        <w:gridCol w:w="1098"/>
      </w:tblGrid>
      <w:tr w:rsidR="00585181" w:rsidRPr="00585181" w:rsidTr="00AE5658">
        <w:tc>
          <w:tcPr>
            <w:tcW w:w="61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221" w:rsidRPr="00585181" w:rsidRDefault="00E86221" w:rsidP="00585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85181" w:rsidRPr="00585181" w:rsidTr="00AE5658">
        <w:tc>
          <w:tcPr>
            <w:tcW w:w="61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Форма по КФД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0504713</w:t>
            </w:r>
          </w:p>
        </w:tc>
      </w:tr>
      <w:tr w:rsidR="00585181" w:rsidRPr="00585181" w:rsidTr="00AE5658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от "__" _____ 20__ г.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81" w:rsidRPr="00585181" w:rsidTr="00AE5658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81" w:rsidRPr="00585181" w:rsidTr="00AE5658"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(распорядитель) бюджетных средств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81" w:rsidRPr="00585181" w:rsidTr="00AE5658"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81" w:rsidRPr="00585181" w:rsidTr="00AE5658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81" w:rsidRPr="00585181" w:rsidTr="00AE5658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Номер лицевого счета получателя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81" w:rsidRPr="00585181" w:rsidTr="00AE5658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81" w:rsidRPr="00585181" w:rsidTr="00AE5658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81" w:rsidRPr="00585181" w:rsidTr="00AE5658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21" w:rsidRPr="00585181" w:rsidTr="00AE5658">
        <w:tc>
          <w:tcPr>
            <w:tcW w:w="6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86221" w:rsidRPr="00585181" w:rsidRDefault="00E86221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221" w:rsidRPr="00585181" w:rsidRDefault="00E86221" w:rsidP="005851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585181" w:rsidRDefault="00A33563" w:rsidP="00585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E86221" w:rsidRPr="00585181"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</w:tr>
    </w:tbl>
    <w:tbl>
      <w:tblPr>
        <w:tblpPr w:leftFromText="180" w:rightFromText="180" w:vertAnchor="text" w:horzAnchor="margin" w:tblpXSpec="center" w:tblpY="668"/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7"/>
        <w:gridCol w:w="567"/>
        <w:gridCol w:w="1020"/>
        <w:gridCol w:w="567"/>
        <w:gridCol w:w="624"/>
        <w:gridCol w:w="1452"/>
        <w:gridCol w:w="1843"/>
        <w:gridCol w:w="1843"/>
        <w:gridCol w:w="708"/>
      </w:tblGrid>
      <w:tr w:rsidR="00AE5658" w:rsidRPr="00585181" w:rsidTr="00AE5658">
        <w:tc>
          <w:tcPr>
            <w:tcW w:w="3855" w:type="dxa"/>
            <w:gridSpan w:val="6"/>
            <w:tcBorders>
              <w:left w:val="nil"/>
            </w:tcBorders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Государственный контракт (договор)</w:t>
            </w:r>
          </w:p>
        </w:tc>
        <w:tc>
          <w:tcPr>
            <w:tcW w:w="1452" w:type="dxa"/>
            <w:vMerge w:val="restart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1843" w:type="dxa"/>
            <w:vMerge w:val="restart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843" w:type="dxa"/>
            <w:vMerge w:val="restart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08" w:type="dxa"/>
            <w:vMerge w:val="restart"/>
            <w:tcBorders>
              <w:right w:val="nil"/>
            </w:tcBorders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E5658" w:rsidRPr="00585181" w:rsidTr="00AE5658">
        <w:tc>
          <w:tcPr>
            <w:tcW w:w="510" w:type="dxa"/>
            <w:vMerge w:val="restart"/>
            <w:tcBorders>
              <w:left w:val="nil"/>
            </w:tcBorders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567" w:type="dxa"/>
            <w:vMerge w:val="restart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587" w:type="dxa"/>
            <w:gridSpan w:val="2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авансовый платеж</w:t>
            </w:r>
          </w:p>
        </w:tc>
        <w:tc>
          <w:tcPr>
            <w:tcW w:w="624" w:type="dxa"/>
            <w:vMerge w:val="restart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1452" w:type="dxa"/>
            <w:vMerge/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E5658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процент от общей суммы</w:t>
            </w:r>
          </w:p>
        </w:tc>
        <w:tc>
          <w:tcPr>
            <w:tcW w:w="567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624" w:type="dxa"/>
            <w:vMerge/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</w:tcPr>
          <w:p w:rsidR="00AE5658" w:rsidRPr="00585181" w:rsidRDefault="00AE5658" w:rsidP="00AE565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E5658">
        <w:tc>
          <w:tcPr>
            <w:tcW w:w="510" w:type="dxa"/>
            <w:tcBorders>
              <w:left w:val="nil"/>
            </w:tcBorders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52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right w:val="nil"/>
            </w:tcBorders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E5658" w:rsidRPr="00585181" w:rsidTr="00AE565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400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AE5658" w:rsidRPr="00585181" w:rsidTr="00AE5658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E565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E5658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E565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514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AE5658" w:rsidRPr="00585181" w:rsidTr="00AE565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E565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AE5658" w:rsidRPr="00585181" w:rsidTr="00AE565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E56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6221" w:rsidRPr="00585181" w:rsidRDefault="00E86221" w:rsidP="00585181">
      <w:pPr>
        <w:spacing w:after="0"/>
        <w:rPr>
          <w:rFonts w:ascii="Times New Roman" w:hAnsi="Times New Roman" w:cs="Times New Roman"/>
          <w:sz w:val="16"/>
          <w:szCs w:val="16"/>
        </w:rPr>
        <w:sectPr w:rsidR="00E86221" w:rsidRPr="00585181" w:rsidSect="00EE702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E5658" w:rsidRPr="00585181" w:rsidRDefault="00AE5658" w:rsidP="00AE565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lastRenderedPageBreak/>
        <w:t>Приложение N 2</w:t>
      </w:r>
    </w:p>
    <w:p w:rsidR="00AE5658" w:rsidRPr="00585181" w:rsidRDefault="00AE5658" w:rsidP="00AE56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к Порядку санкционирования оплаты</w:t>
      </w:r>
    </w:p>
    <w:p w:rsidR="00AE5658" w:rsidRPr="00585181" w:rsidRDefault="00AE5658" w:rsidP="00AE56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денежных обязательств получателей</w:t>
      </w:r>
    </w:p>
    <w:p w:rsidR="00AE5658" w:rsidRPr="00585181" w:rsidRDefault="00AE5658" w:rsidP="00AE56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 xml:space="preserve">средств бюджета </w:t>
      </w:r>
      <w:proofErr w:type="spellStart"/>
      <w:r w:rsidR="003A0282">
        <w:rPr>
          <w:rFonts w:ascii="Times New Roman" w:hAnsi="Times New Roman" w:cs="Times New Roman"/>
          <w:sz w:val="16"/>
          <w:szCs w:val="16"/>
        </w:rPr>
        <w:t>Большетелекского</w:t>
      </w:r>
      <w:proofErr w:type="spellEnd"/>
      <w:r w:rsidRPr="00585181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AE5658" w:rsidRPr="00585181" w:rsidRDefault="00AE5658" w:rsidP="00AE56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и оплаты денежных обязательств,</w:t>
      </w:r>
    </w:p>
    <w:p w:rsidR="00AE5658" w:rsidRPr="00585181" w:rsidRDefault="00AE5658" w:rsidP="00AE56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подлежащих исполнению за счет</w:t>
      </w:r>
    </w:p>
    <w:p w:rsidR="00AE5658" w:rsidRPr="00585181" w:rsidRDefault="00AE5658" w:rsidP="00AE56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>бюджетных ассигнований по источникам</w:t>
      </w:r>
    </w:p>
    <w:p w:rsidR="00AE5658" w:rsidRPr="00585181" w:rsidRDefault="00AE5658" w:rsidP="00AE56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5181">
        <w:rPr>
          <w:rFonts w:ascii="Times New Roman" w:hAnsi="Times New Roman" w:cs="Times New Roman"/>
          <w:sz w:val="16"/>
          <w:szCs w:val="16"/>
        </w:rPr>
        <w:t xml:space="preserve">финансирования дефицита бюджета </w:t>
      </w:r>
    </w:p>
    <w:p w:rsidR="00AE5658" w:rsidRPr="00585181" w:rsidRDefault="003A0282" w:rsidP="00AE56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Большетелекского</w:t>
      </w:r>
      <w:proofErr w:type="spellEnd"/>
      <w:r w:rsidR="00AE5658" w:rsidRPr="00585181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E5658" w:rsidRPr="00585181" w:rsidTr="00A045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УВЕДОМЛЕНИЕ N _____</w:t>
            </w:r>
          </w:p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о нарушении сроков внесения и размеров арендной платы</w:t>
            </w:r>
          </w:p>
        </w:tc>
      </w:tr>
    </w:tbl>
    <w:p w:rsidR="00AE5658" w:rsidRPr="00585181" w:rsidRDefault="00AE5658" w:rsidP="00AE565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AE5658" w:rsidRPr="00585181" w:rsidTr="00A0454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E5658" w:rsidRPr="00585181" w:rsidTr="00A0454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0504714</w:t>
            </w:r>
          </w:p>
        </w:tc>
      </w:tr>
      <w:tr w:rsidR="00AE5658" w:rsidRPr="00585181" w:rsidTr="00A0454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8" w:rsidRPr="00585181" w:rsidRDefault="00A33563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AE5658" w:rsidRPr="00585181"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</w:tr>
    </w:tbl>
    <w:p w:rsidR="00AE5658" w:rsidRPr="00585181" w:rsidRDefault="00AE5658" w:rsidP="00AE565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AE5658" w:rsidRPr="00585181" w:rsidTr="00A04549">
        <w:tc>
          <w:tcPr>
            <w:tcW w:w="4989" w:type="dxa"/>
            <w:gridSpan w:val="5"/>
            <w:tcBorders>
              <w:left w:val="nil"/>
            </w:tcBorders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E5658" w:rsidRPr="00585181" w:rsidTr="00A04549">
        <w:tc>
          <w:tcPr>
            <w:tcW w:w="624" w:type="dxa"/>
            <w:tcBorders>
              <w:left w:val="nil"/>
            </w:tcBorders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80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74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AE5658" w:rsidRPr="00585181" w:rsidRDefault="00AE5658" w:rsidP="00A0454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E5658" w:rsidRPr="00585181" w:rsidRDefault="00AE5658" w:rsidP="00A0454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E5658" w:rsidRPr="00585181" w:rsidRDefault="00AE5658" w:rsidP="00A0454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624" w:type="dxa"/>
            <w:tcBorders>
              <w:left w:val="nil"/>
            </w:tcBorders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1" w:type="dxa"/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E5658" w:rsidRPr="00585181" w:rsidTr="00A045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5658" w:rsidRPr="00585181" w:rsidRDefault="00AE5658" w:rsidP="00AE565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AE5658" w:rsidRPr="00585181" w:rsidTr="00A0454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5658" w:rsidRPr="00585181" w:rsidRDefault="00AE5658" w:rsidP="00AE565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AE5658" w:rsidRPr="00585181" w:rsidTr="00A0454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658" w:rsidRPr="00585181" w:rsidTr="00A0454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AE5658" w:rsidRPr="00585181" w:rsidTr="00A0454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5181">
              <w:rPr>
                <w:rFonts w:ascii="Times New Roman" w:hAnsi="Times New Roman" w:cs="Times New Roman"/>
                <w:sz w:val="16"/>
                <w:szCs w:val="16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A04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5658" w:rsidRPr="00585181" w:rsidRDefault="00AE5658" w:rsidP="00AE565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5658" w:rsidRPr="00585181" w:rsidRDefault="00AE5658" w:rsidP="00AE565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5658" w:rsidRPr="00585181" w:rsidRDefault="00AE5658" w:rsidP="00AE5658">
      <w:pPr>
        <w:spacing w:after="0"/>
        <w:rPr>
          <w:rFonts w:ascii="Times New Roman" w:hAnsi="Times New Roman" w:cs="Times New Roman"/>
        </w:rPr>
      </w:pPr>
    </w:p>
    <w:p w:rsidR="00E86221" w:rsidRPr="00585181" w:rsidRDefault="00E86221" w:rsidP="00585181">
      <w:pPr>
        <w:spacing w:after="0"/>
        <w:rPr>
          <w:rFonts w:ascii="Times New Roman" w:hAnsi="Times New Roman" w:cs="Times New Roman"/>
          <w:sz w:val="16"/>
          <w:szCs w:val="16"/>
        </w:rPr>
        <w:sectPr w:rsidR="00E86221" w:rsidRPr="00585181" w:rsidSect="00AE5658">
          <w:pgSz w:w="11905" w:h="16838"/>
          <w:pgMar w:top="1134" w:right="709" w:bottom="1134" w:left="709" w:header="0" w:footer="0" w:gutter="0"/>
          <w:cols w:space="720"/>
          <w:docGrid w:linePitch="299"/>
        </w:sect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E702B" w:rsidRPr="00585181" w:rsidRDefault="00EE702B" w:rsidP="0058518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5181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417"/>
        <w:gridCol w:w="340"/>
        <w:gridCol w:w="1247"/>
        <w:gridCol w:w="340"/>
        <w:gridCol w:w="1531"/>
      </w:tblGrid>
      <w:tr w:rsidR="00AE5658" w:rsidRPr="0058518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E5658" w:rsidRPr="00585181" w:rsidRDefault="00AE5658" w:rsidP="00585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86221" w:rsidRPr="00585181" w:rsidRDefault="00E86221" w:rsidP="0058518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13F8" w:rsidRPr="00585181" w:rsidRDefault="00F813F8" w:rsidP="00585181">
      <w:pPr>
        <w:spacing w:after="0"/>
        <w:rPr>
          <w:rFonts w:ascii="Times New Roman" w:hAnsi="Times New Roman" w:cs="Times New Roman"/>
        </w:rPr>
      </w:pPr>
    </w:p>
    <w:sectPr w:rsidR="00F813F8" w:rsidRPr="00585181" w:rsidSect="009074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806"/>
    <w:multiLevelType w:val="hybridMultilevel"/>
    <w:tmpl w:val="9EAA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E86221"/>
    <w:rsid w:val="00094A4F"/>
    <w:rsid w:val="00191667"/>
    <w:rsid w:val="003A0282"/>
    <w:rsid w:val="003C79E1"/>
    <w:rsid w:val="004A3A8E"/>
    <w:rsid w:val="004D375E"/>
    <w:rsid w:val="00543584"/>
    <w:rsid w:val="00585181"/>
    <w:rsid w:val="006C27CC"/>
    <w:rsid w:val="006D134A"/>
    <w:rsid w:val="006E3F46"/>
    <w:rsid w:val="00772D26"/>
    <w:rsid w:val="007B7B97"/>
    <w:rsid w:val="0083146E"/>
    <w:rsid w:val="008528CF"/>
    <w:rsid w:val="00893DD9"/>
    <w:rsid w:val="008F2DC4"/>
    <w:rsid w:val="009571A1"/>
    <w:rsid w:val="00987721"/>
    <w:rsid w:val="00995C2E"/>
    <w:rsid w:val="00A33563"/>
    <w:rsid w:val="00AE5658"/>
    <w:rsid w:val="00BB37FA"/>
    <w:rsid w:val="00C10847"/>
    <w:rsid w:val="00CD114C"/>
    <w:rsid w:val="00D774DA"/>
    <w:rsid w:val="00E221E5"/>
    <w:rsid w:val="00E86221"/>
    <w:rsid w:val="00EC4178"/>
    <w:rsid w:val="00EE702B"/>
    <w:rsid w:val="00F247B2"/>
    <w:rsid w:val="00F8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6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79E1"/>
    <w:rPr>
      <w:color w:val="0000FF"/>
      <w:u w:val="single"/>
    </w:rPr>
  </w:style>
  <w:style w:type="paragraph" w:styleId="a4">
    <w:name w:val="No Spacing"/>
    <w:uiPriority w:val="1"/>
    <w:qFormat/>
    <w:rsid w:val="003C7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6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79E1"/>
    <w:rPr>
      <w:color w:val="0000FF"/>
      <w:u w:val="single"/>
    </w:rPr>
  </w:style>
  <w:style w:type="paragraph" w:styleId="a4">
    <w:name w:val="No Spacing"/>
    <w:uiPriority w:val="1"/>
    <w:qFormat/>
    <w:rsid w:val="003C7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0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44E2787F0DC8A2AF942E3B304654E771F44EDE1E300E0E3B7ABA420DA2FE32ED8850770C7BB341EFC1FA8D20D9CA7589C99226EDB5C289g0nC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44E2787F0DC8A2AF942E3B304654E771F44EDE1E300E0E3B7ABA420DA2FE32ED8850720579B34CB89BEA89698DC46A8BD58D26F3B5gCn3J" TargetMode="External"/><Relationship Id="rId12" Type="http://schemas.openxmlformats.org/officeDocument/2006/relationships/hyperlink" Target="consultantplus://offline/ref=8144E2787F0DC8A2AF942E3B304654E771F544D51A310E0E3B7ABA420DA2FE32ED8850770C79B946EAC1FA8D20D9CA7589C99226EDB5C289g0n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44E2787F0DC8A2AF942E3B304654E771F44EDE1E300E0E3B7ABA420DA2FE32ED8850740971B24CB89BEA89698DC46A8BD58D26F3B5gCn3J" TargetMode="External"/><Relationship Id="rId11" Type="http://schemas.openxmlformats.org/officeDocument/2006/relationships/hyperlink" Target="consultantplus://offline/ref=8144E2787F0DC8A2AF942E3B304654E771F544D51A310E0E3B7ABA420DA2FE32ED8850770C79B946EAC1FA8D20D9CA7589C99226EDB5C289g0nCJ" TargetMode="External"/><Relationship Id="rId5" Type="http://schemas.openxmlformats.org/officeDocument/2006/relationships/hyperlink" Target="consultantplus://offline/ref=8144E2787F0DC8A2AF942E3B304654E771F44EDE1E300E0E3B7ABA420DA2FE32ED8850750A7DB44CB89BEA89698DC46A8BD58D26F3B5gCn3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144E2787F0DC8A2AF942E3B304654E771F84FDC1F320E0E3B7ABA420DA2FE32FF88087B0D7BAE46EED4ACDC66g8n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405/32f8c7df87ee1d591cf0567b0e54f6038bc06e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</dc:creator>
  <cp:lastModifiedBy>1</cp:lastModifiedBy>
  <cp:revision>33</cp:revision>
  <dcterms:created xsi:type="dcterms:W3CDTF">2021-12-13T09:39:00Z</dcterms:created>
  <dcterms:modified xsi:type="dcterms:W3CDTF">2022-01-12T11:18:00Z</dcterms:modified>
</cp:coreProperties>
</file>